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0A0B0A"/>
          <w:sz w:val="38"/>
        </w:rPr>
        <w:t>Charte d’usage des outils d’IA</w:t>
      </w:r>
    </w:p>
    <w:p>
      <w:pPr>
        <w:spacing w:after="80"/>
      </w:pPr>
      <w:r>
        <w:rPr>
          <w:b w:val="0"/>
          <w:i w:val="0"/>
          <w:color w:val="5A544A"/>
          <w:sz w:val="19"/>
        </w:rPr>
        <w:t>[Nom de l’entreprise] · Version 1 · Date : __ / __ / 2026 · Prochaine relecture : __ / __ / 2026</w:t>
      </w:r>
    </w:p>
    <w:p>
      <w:pPr>
        <w:spacing w:after="40"/>
      </w:pPr>
      <w:r>
        <w:rPr>
          <w:b w:val="0"/>
          <w:i w:val="0"/>
        </w:rPr>
        <w:t>Cette charte tient sur une page. Elle dit ce qu’on peut faire avec des outils d’IA générative (comme ChatGPT) dans notre travail, ce qu’on ne fait jamais, et à qui demander en cas de doute.</w:t>
      </w:r>
    </w:p>
    <w:p>
      <w:pPr>
        <w:spacing w:before="180" w:after="40"/>
        <w:pBdr>
          <w:bottom w:val="single" w:sz="4" w:space="1" w:color="E4DAC8"/>
        </w:pBdr>
      </w:pPr>
      <w:r>
        <w:rPr>
          <w:b/>
          <w:color w:val="A5472D"/>
          <w:sz w:val="24"/>
        </w:rPr>
        <w:t>1. Les outils autorisés</w:t>
      </w:r>
    </w:p>
    <w:p>
      <w:pPr>
        <w:spacing w:after="60"/>
      </w:pPr>
      <w:r>
        <w:rPr>
          <w:b w:val="0"/>
          <w:i w:val="0"/>
        </w:rPr>
        <w:t>Pour le travail de l’entreprise, on utilise uniquement les outils de cette liste. Pour en ajouter un, on demande d’abord à [nom du responsable].</w:t>
      </w:r>
    </w:p>
    <w:tbl>
      <w:tblPr>
        <w:tblStyle w:val="TableGrid"/>
        <w:tblW w:type="auto" w:w="0"/>
        <w:jc w:val="center"/>
        <w:tblLook w:firstColumn="1" w:firstRow="1" w:lastColumn="0" w:lastRow="0" w:noHBand="0" w:noVBand="1" w:val="04A0"/>
      </w:tblPr>
      <w:tblGrid>
        <w:gridCol w:w="3213"/>
        <w:gridCol w:w="3213"/>
        <w:gridCol w:w="3213"/>
      </w:tblGrid>
      <w:tr>
        <w:trPr>
          <w:trHeight w:val="351"/>
        </w:trPr>
        <w:tc>
          <w:tcPr>
            <w:tcW w:type="dxa" w:w="3213"/>
            <w:shd w:val="clear" w:fill="F3EBDF"/>
          </w:tcPr>
          <w:p>
            <w:pPr>
              <w:spacing w:after="0"/>
            </w:pPr>
            <w:r/>
            <w:r>
              <w:rPr>
                <w:b/>
                <w:sz w:val="19"/>
              </w:rPr>
              <w:t>Outil</w:t>
            </w:r>
          </w:p>
        </w:tc>
        <w:tc>
          <w:tcPr>
            <w:tcW w:type="dxa" w:w="3213"/>
            <w:shd w:val="clear" w:fill="F3EBDF"/>
          </w:tcPr>
          <w:p>
            <w:pPr>
              <w:spacing w:after="0"/>
            </w:pPr>
            <w:r/>
            <w:r>
              <w:rPr>
                <w:b/>
                <w:sz w:val="19"/>
              </w:rPr>
              <w:t>À quoi il sert</w:t>
            </w:r>
          </w:p>
        </w:tc>
        <w:tc>
          <w:tcPr>
            <w:tcW w:type="dxa" w:w="3213"/>
            <w:shd w:val="clear" w:fill="F3EBDF"/>
          </w:tcPr>
          <w:p>
            <w:pPr>
              <w:spacing w:after="0"/>
            </w:pPr>
            <w:r/>
            <w:r>
              <w:rPr>
                <w:b/>
                <w:sz w:val="19"/>
              </w:rPr>
              <w:t>Qui peut l’utiliser</w:t>
            </w:r>
          </w:p>
        </w:tc>
      </w:tr>
      <w:tr>
        <w:trPr>
          <w:trHeight w:val="351"/>
        </w:trPr>
        <w:tc>
          <w:tcPr>
            <w:tcW w:type="dxa" w:w="3213"/>
          </w:tcPr>
          <w:p>
            <w:pPr>
              <w:spacing w:after="0"/>
            </w:pPr>
            <w:r/>
            <w:r>
              <w:rPr>
                <w:b w:val="0"/>
                <w:sz w:val="19"/>
              </w:rPr>
              <w:t>[Outil 1]</w:t>
            </w:r>
          </w:p>
        </w:tc>
        <w:tc>
          <w:tcPr>
            <w:tcW w:type="dxa" w:w="3213"/>
          </w:tcPr>
          <w:p>
            <w:pPr>
              <w:spacing w:after="0"/>
            </w:pPr>
            <w:r/>
            <w:r>
              <w:rPr>
                <w:b w:val="0"/>
                <w:sz w:val="19"/>
              </w:rPr>
              <w:t>[ex. reformuler un e-mail]</w:t>
            </w:r>
          </w:p>
        </w:tc>
        <w:tc>
          <w:tcPr>
            <w:tcW w:type="dxa" w:w="3213"/>
          </w:tcPr>
          <w:p>
            <w:pPr>
              <w:spacing w:after="0"/>
            </w:pPr>
            <w:r/>
            <w:r>
              <w:rPr>
                <w:b w:val="0"/>
                <w:sz w:val="19"/>
              </w:rPr>
              <w:t>[ex. toute l’équipe]</w:t>
            </w:r>
          </w:p>
        </w:tc>
      </w:tr>
      <w:tr>
        <w:trPr>
          <w:trHeight w:val="351"/>
        </w:trPr>
        <w:tc>
          <w:tcPr>
            <w:tcW w:type="dxa" w:w="3213"/>
          </w:tcPr>
          <w:p>
            <w:pPr>
              <w:spacing w:after="0"/>
            </w:pPr>
            <w:r/>
            <w:r>
              <w:rPr>
                <w:b w:val="0"/>
                <w:sz w:val="19"/>
              </w:rPr>
              <w:t>[Outil 2]</w:t>
            </w:r>
          </w:p>
        </w:tc>
        <w:tc>
          <w:tcPr>
            <w:tcW w:type="dxa" w:w="3213"/>
          </w:tcPr>
          <w:p>
            <w:pPr>
              <w:spacing w:after="0"/>
            </w:pPr>
            <w:r/>
            <w:r>
              <w:rPr>
                <w:b w:val="0"/>
                <w:sz w:val="19"/>
              </w:rPr>
              <w:t>[ex. traduire un document]</w:t>
            </w:r>
          </w:p>
        </w:tc>
        <w:tc>
          <w:tcPr>
            <w:tcW w:type="dxa" w:w="3213"/>
          </w:tcPr>
          <w:p>
            <w:pPr>
              <w:spacing w:after="0"/>
            </w:pPr>
            <w:r/>
            <w:r>
              <w:rPr>
                <w:b w:val="0"/>
                <w:sz w:val="19"/>
              </w:rPr>
              <w:t>[ex. administratif]</w:t>
            </w:r>
          </w:p>
        </w:tc>
      </w:tr>
      <w:tr>
        <w:trPr>
          <w:trHeight w:val="351"/>
        </w:trPr>
        <w:tc>
          <w:tcPr>
            <w:tcW w:type="dxa" w:w="3213"/>
          </w:tcPr>
          <w:p>
            <w:pPr>
              <w:spacing w:after="0"/>
            </w:pPr>
            <w:r/>
            <w:r>
              <w:rPr>
                <w:b w:val="0"/>
                <w:sz w:val="19"/>
              </w:rPr>
              <w:t>[Outil 3]</w:t>
            </w:r>
          </w:p>
        </w:tc>
        <w:tc>
          <w:tcPr>
            <w:tcW w:type="dxa" w:w="3213"/>
          </w:tcPr>
          <w:p>
            <w:pPr>
              <w:spacing w:after="0"/>
            </w:pPr>
            <w:r/>
            <w:r>
              <w:rPr>
                <w:b w:val="0"/>
                <w:sz w:val="19"/>
              </w:rPr>
              <w:t>[à compléter]</w:t>
            </w:r>
          </w:p>
        </w:tc>
        <w:tc>
          <w:tcPr>
            <w:tcW w:type="dxa" w:w="3213"/>
          </w:tcPr>
          <w:p>
            <w:pPr>
              <w:spacing w:after="0"/>
            </w:pPr>
            <w:r/>
            <w:r>
              <w:rPr>
                <w:b w:val="0"/>
                <w:sz w:val="19"/>
              </w:rPr>
              <w:t>[à compléter]</w:t>
            </w:r>
          </w:p>
        </w:tc>
      </w:tr>
    </w:tbl>
    <w:p>
      <w:pPr>
        <w:spacing w:before="180" w:after="40"/>
        <w:pBdr>
          <w:bottom w:val="single" w:sz="4" w:space="1" w:color="E4DAC8"/>
        </w:pBdr>
      </w:pPr>
      <w:r>
        <w:rPr>
          <w:b/>
          <w:color w:val="A5472D"/>
          <w:sz w:val="24"/>
        </w:rPr>
        <w:t>2. Ce qu’on ne saisit jamais dans ces outils</w:t>
      </w:r>
    </w:p>
    <w:p>
      <w:pPr>
        <w:pStyle w:val="ListBullet"/>
        <w:spacing w:after="20"/>
        <w:ind w:left="340"/>
      </w:pPr>
      <w:r>
        <w:rPr>
          <w:b/>
        </w:rPr>
        <w:t>Les données de clients, de salariés ou de partenaires</w:t>
      </w:r>
      <w:r>
        <w:t xml:space="preserve"> ou toute information permettant d’identifier une personne.</w:t>
      </w:r>
    </w:p>
    <w:p>
      <w:pPr>
        <w:pStyle w:val="ListBullet"/>
        <w:spacing w:after="20"/>
        <w:ind w:left="340"/>
      </w:pPr>
      <w:r>
        <w:rPr>
          <w:b/>
        </w:rPr>
        <w:t>Les mots de passe</w:t>
      </w:r>
      <w:r>
        <w:t xml:space="preserve"> et les codes d’accès.</w:t>
      </w:r>
    </w:p>
    <w:p>
      <w:pPr>
        <w:pStyle w:val="ListBullet"/>
        <w:spacing w:after="20"/>
        <w:ind w:left="340"/>
      </w:pPr>
      <w:r>
        <w:rPr>
          <w:b/>
        </w:rPr>
        <w:t>Les informations confidentielles</w:t>
      </w:r>
      <w:r>
        <w:t xml:space="preserve"> (contrats, tarifs non publics, documents reçus d’un tiers, secrets d’affaires).</w:t>
      </w:r>
    </w:p>
    <w:p>
      <w:pPr>
        <w:pStyle w:val="ListBullet"/>
        <w:spacing w:after="20"/>
        <w:ind w:left="340"/>
      </w:pPr>
      <w:r>
        <w:rPr>
          <w:b/>
        </w:rPr>
        <w:t>En cas d’hésitation sur une information :</w:t>
      </w:r>
      <w:r>
        <w:t xml:space="preserve"> on la remplace par un exemple inventé ou on s’abstient.</w:t>
      </w:r>
    </w:p>
    <w:p>
      <w:pPr>
        <w:spacing w:before="180" w:after="40"/>
        <w:pBdr>
          <w:bottom w:val="single" w:sz="4" w:space="1" w:color="E4DAC8"/>
        </w:pBdr>
      </w:pPr>
      <w:r>
        <w:rPr>
          <w:b/>
          <w:color w:val="A5472D"/>
          <w:sz w:val="24"/>
        </w:rPr>
        <w:t>3. Une relecture avant usage</w:t>
      </w:r>
    </w:p>
    <w:p>
      <w:pPr>
        <w:spacing w:after="40"/>
      </w:pPr>
      <w:r>
        <w:rPr>
          <w:b w:val="0"/>
          <w:i w:val="0"/>
        </w:rPr>
        <w:t>Une réponse d’IA peut être fausse ou incomplète. On relit, on vérifie les chiffres, les noms et les sources, avant d’envoyer, de publier ou d’utiliser un texte. Avant d’envoyer ou de publier, la personne qui a utilisé l’outil relit le résultat.</w:t>
      </w:r>
    </w:p>
    <w:p>
      <w:pPr>
        <w:spacing w:before="180" w:after="40"/>
        <w:pBdr>
          <w:bottom w:val="single" w:sz="4" w:space="1" w:color="E4DAC8"/>
        </w:pBdr>
      </w:pPr>
      <w:r>
        <w:rPr>
          <w:b/>
          <w:color w:val="A5472D"/>
          <w:sz w:val="24"/>
        </w:rPr>
        <w:t>4. En cas de doute ou d’erreur</w:t>
      </w:r>
    </w:p>
    <w:p>
      <w:pPr>
        <w:spacing w:after="40"/>
      </w:pPr>
      <w:r>
        <w:rPr>
          <w:b w:val="0"/>
          <w:i w:val="0"/>
        </w:rPr>
        <w:t>Une question ? On s’adresse à [nom, poste, contact]. Une information a été saisie par erreur dans un outil ? On prévient cette personne le jour même, de préférence sans reproche : l’objectif est de corriger et d’apprendre.</w:t>
      </w:r>
    </w:p>
    <w:p>
      <w:pPr>
        <w:spacing w:before="180" w:after="40"/>
        <w:pBdr>
          <w:bottom w:val="single" w:sz="4" w:space="1" w:color="E4DAC8"/>
        </w:pBdr>
      </w:pPr>
      <w:r>
        <w:rPr>
          <w:b/>
          <w:color w:val="A5472D"/>
          <w:sz w:val="24"/>
        </w:rPr>
        <w:t>5. Date, relecture et trace</w:t>
      </w:r>
    </w:p>
    <w:p>
      <w:pPr>
        <w:spacing w:after="60"/>
      </w:pPr>
      <w:r>
        <w:rPr>
          <w:b w:val="0"/>
          <w:i w:val="0"/>
        </w:rPr>
        <w:t>Cette charte est relue tous les [6] mois et dès qu’un nouvel outil est ajouté. Chacun la lit et la signe ci-dessous ; on note la date dans notre registre de sensibilisation.</w:t>
      </w:r>
    </w:p>
    <w:tbl>
      <w:tblPr>
        <w:tblStyle w:val="TableGrid"/>
        <w:tblW w:type="auto" w:w="0"/>
        <w:tblLook w:firstColumn="1" w:firstRow="1" w:lastColumn="0" w:lastRow="0" w:noHBand="0" w:noVBand="1" w:val="04A0"/>
      </w:tblPr>
      <w:tblGrid>
        <w:gridCol w:w="3213"/>
        <w:gridCol w:w="3213"/>
        <w:gridCol w:w="3213"/>
      </w:tblGrid>
      <w:tr>
        <w:trPr>
          <w:trHeight w:val="351"/>
        </w:trPr>
        <w:tc>
          <w:tcPr>
            <w:tcW w:type="dxa" w:w="3213"/>
            <w:shd w:val="clear" w:fill="F3EBDF"/>
          </w:tcPr>
          <w:p>
            <w:pPr>
              <w:spacing w:after="0"/>
            </w:pPr>
            <w:r/>
            <w:r>
              <w:rPr>
                <w:b/>
                <w:sz w:val="19"/>
              </w:rPr>
              <w:t>Nom</w:t>
            </w:r>
          </w:p>
        </w:tc>
        <w:tc>
          <w:tcPr>
            <w:tcW w:type="dxa" w:w="3213"/>
            <w:shd w:val="clear" w:fill="F3EBDF"/>
          </w:tcPr>
          <w:p>
            <w:pPr>
              <w:spacing w:after="0"/>
            </w:pPr>
            <w:r/>
            <w:r>
              <w:rPr>
                <w:b/>
                <w:sz w:val="19"/>
              </w:rPr>
              <w:t>Date de lecture</w:t>
            </w:r>
          </w:p>
        </w:tc>
        <w:tc>
          <w:tcPr>
            <w:tcW w:type="dxa" w:w="3213"/>
            <w:shd w:val="clear" w:fill="F3EBDF"/>
          </w:tcPr>
          <w:p>
            <w:pPr>
              <w:spacing w:after="0"/>
            </w:pPr>
            <w:r/>
            <w:r>
              <w:rPr>
                <w:b/>
                <w:sz w:val="19"/>
              </w:rPr>
              <w:t>Remarques</w:t>
            </w:r>
          </w:p>
        </w:tc>
      </w:tr>
      <w:tr>
        <w:trPr>
          <w:trHeight w:val="351"/>
        </w:trPr>
        <w:tc>
          <w:tcPr>
            <w:tcW w:type="dxa" w:w="3213"/>
          </w:tcPr>
          <w:p>
            <w:pPr>
              <w:spacing w:after="160"/>
            </w:pPr>
          </w:p>
        </w:tc>
        <w:tc>
          <w:tcPr>
            <w:tcW w:type="dxa" w:w="3213"/>
          </w:tcPr>
          <w:p>
            <w:pPr>
              <w:spacing w:after="160"/>
            </w:pPr>
          </w:p>
        </w:tc>
        <w:tc>
          <w:tcPr>
            <w:tcW w:type="dxa" w:w="3213"/>
          </w:tcPr>
          <w:p>
            <w:pPr>
              <w:spacing w:after="160"/>
            </w:pPr>
          </w:p>
        </w:tc>
      </w:tr>
    </w:tbl>
    <w:p>
      <w:pPr>
        <w:spacing w:after="0" w:before="160"/>
      </w:pPr>
      <w:r>
        <w:rPr>
          <w:b w:val="0"/>
          <w:i/>
          <w:color w:val="5A544A"/>
          <w:sz w:val="17"/>
        </w:rPr>
        <w:t>Modèle à adapter à votre situation. Il est fourni à titre d’information et de conseil pratique : ce n’est pas un avis juridique et il ne garantit aucune conformité. © Mickael Da Silva · mickaeldasilva.fr</w:t>
      </w:r>
    </w:p>
    <w:sectPr w:rsidR="00FC693F" w:rsidRPr="0006063C" w:rsidSect="00034616">
      <w:pgSz w:w="11906" w:h="16838"/>
      <w:pgMar w:top="907"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d’usage des outils d’IA (une page)</dc:title>
  <dc:subject/>
  <dc:creator>Mickael Da Silva</dc:creator>
  <cp:keywords/>
  <dc:description>generated by python-docx</dc:description>
  <cp:lastModifiedBy/>
  <cp:revision>1</cp:revision>
  <dcterms:created xsi:type="dcterms:W3CDTF">2013-12-23T23:15:00Z</dcterms:created>
  <dcterms:modified xsi:type="dcterms:W3CDTF">2013-12-23T23:15:00Z</dcterms:modified>
  <cp:category/>
</cp:coreProperties>
</file>